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惠仲土（用地）挂[2023]083号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Times New Roman" w:hAnsi="Times New Roman" w:eastAsia="仿宋_GB2312" w:cs="Times New Roman"/>
          <w:b w:val="0"/>
          <w:bCs/>
          <w:kern w:val="0"/>
          <w:sz w:val="32"/>
          <w:szCs w:val="32"/>
          <w:highlight w:val="none"/>
          <w:lang w:val="en-US" w:eastAsia="zh-CN" w:bidi="ar-SA"/>
        </w:rPr>
        <w:t>仲恺高新区产业项目投资建设协议书</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857C09"/>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0</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2023-12-28T11:17:46Z</cp:lastPrinted>
  <dcterms:modified xsi:type="dcterms:W3CDTF">2023-12-28T11:17:53Z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